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6BE8" w14:textId="795C8FFB" w:rsidR="00A372F3" w:rsidRPr="00A344B7" w:rsidRDefault="00D85F6F" w:rsidP="00D85F6F">
      <w:pPr>
        <w:jc w:val="center"/>
        <w:rPr>
          <w:b/>
          <w:bCs/>
        </w:rPr>
      </w:pPr>
      <w:r>
        <w:rPr>
          <w:b/>
          <w:bCs/>
        </w:rPr>
        <w:t>Wetgeving jeugdigen Arbeidsomstandighedenbesluit</w:t>
      </w:r>
    </w:p>
    <w:p w14:paraId="652FCCA4" w14:textId="77777777" w:rsidR="00A344B7" w:rsidRDefault="00A344B7" w:rsidP="00D56141">
      <w:pPr>
        <w:spacing w:after="0"/>
      </w:pPr>
    </w:p>
    <w:p w14:paraId="77039429" w14:textId="08CF5B7D" w:rsidR="00A344B7" w:rsidRPr="00D56141" w:rsidRDefault="00EC73E2" w:rsidP="00D56141">
      <w:pPr>
        <w:spacing w:after="0"/>
        <w:rPr>
          <w:b/>
          <w:bCs/>
          <w:sz w:val="22"/>
          <w:szCs w:val="22"/>
        </w:rPr>
      </w:pPr>
      <w:r w:rsidRPr="00EC73E2">
        <w:rPr>
          <w:b/>
          <w:bCs/>
          <w:sz w:val="22"/>
          <w:szCs w:val="22"/>
        </w:rPr>
        <w:t>Afdeling 1. Definities</w:t>
      </w:r>
    </w:p>
    <w:p w14:paraId="1087CB21" w14:textId="5FCA53F3" w:rsidR="00A344B7" w:rsidRDefault="00EC73E2" w:rsidP="003E3535">
      <w:pPr>
        <w:spacing w:after="0"/>
        <w:rPr>
          <w:sz w:val="22"/>
          <w:szCs w:val="22"/>
        </w:rPr>
      </w:pPr>
      <w:r w:rsidRPr="00D56141">
        <w:rPr>
          <w:sz w:val="22"/>
          <w:szCs w:val="22"/>
        </w:rPr>
        <w:t>J</w:t>
      </w:r>
      <w:r w:rsidR="00C16C12" w:rsidRPr="00D56141">
        <w:rPr>
          <w:sz w:val="22"/>
          <w:szCs w:val="22"/>
        </w:rPr>
        <w:t xml:space="preserve">eugdige werknemer: een werknemer jonger dan 18 jaar; </w:t>
      </w:r>
    </w:p>
    <w:p w14:paraId="4E288FF5" w14:textId="77777777" w:rsidR="003E3535" w:rsidRPr="00D56141" w:rsidRDefault="003E3535" w:rsidP="003E3535">
      <w:pPr>
        <w:spacing w:after="0"/>
        <w:rPr>
          <w:sz w:val="22"/>
          <w:szCs w:val="22"/>
        </w:rPr>
      </w:pPr>
    </w:p>
    <w:p w14:paraId="61A0584A" w14:textId="77777777" w:rsidR="00DC243D" w:rsidRPr="00DC243D" w:rsidRDefault="00DC243D" w:rsidP="00D56141">
      <w:pPr>
        <w:spacing w:after="0"/>
        <w:rPr>
          <w:b/>
          <w:bCs/>
          <w:sz w:val="22"/>
          <w:szCs w:val="22"/>
        </w:rPr>
      </w:pPr>
      <w:r w:rsidRPr="00DC243D">
        <w:rPr>
          <w:b/>
          <w:bCs/>
          <w:sz w:val="22"/>
          <w:szCs w:val="22"/>
        </w:rPr>
        <w:t>Artikel 1.24. Kennisneming risico-inventarisatie en -evaluatie</w:t>
      </w:r>
    </w:p>
    <w:p w14:paraId="5656495C" w14:textId="4EBAD3CE" w:rsidR="008A28B3" w:rsidRDefault="008A28B3" w:rsidP="003E3535">
      <w:pPr>
        <w:spacing w:after="0"/>
        <w:rPr>
          <w:sz w:val="22"/>
          <w:szCs w:val="22"/>
        </w:rPr>
      </w:pPr>
      <w:r w:rsidRPr="00D56141">
        <w:rPr>
          <w:sz w:val="22"/>
          <w:szCs w:val="22"/>
        </w:rPr>
        <w:t>In afwijking van </w:t>
      </w:r>
      <w:hyperlink r:id="rId5" w:history="1">
        <w:r w:rsidRPr="00D56141">
          <w:rPr>
            <w:rStyle w:val="Hyperlink"/>
            <w:sz w:val="22"/>
            <w:szCs w:val="22"/>
          </w:rPr>
          <w:t>artikel 5, zesde lid, van de wet</w:t>
        </w:r>
      </w:hyperlink>
      <w:r w:rsidRPr="00D56141">
        <w:rPr>
          <w:sz w:val="22"/>
          <w:szCs w:val="22"/>
        </w:rPr>
        <w:t> kan een gedetineerde, verpleegde of jeugdige kennisnemen van de risico-inventarisatie en -evaluatie, voor zover de orde of de veiligheid in de justitiële inrichting daardoor niet in gevaar wordt gebracht.</w:t>
      </w:r>
    </w:p>
    <w:p w14:paraId="251F66E1" w14:textId="77777777" w:rsidR="003E3535" w:rsidRPr="00D56141" w:rsidRDefault="003E3535" w:rsidP="003E3535">
      <w:pPr>
        <w:spacing w:after="0"/>
        <w:rPr>
          <w:sz w:val="22"/>
          <w:szCs w:val="22"/>
        </w:rPr>
      </w:pPr>
    </w:p>
    <w:p w14:paraId="022B1F40" w14:textId="77777777" w:rsidR="00D85F6F" w:rsidRPr="00D85F6F" w:rsidRDefault="00D85F6F" w:rsidP="00D56141">
      <w:pPr>
        <w:spacing w:after="0"/>
        <w:rPr>
          <w:b/>
          <w:bCs/>
          <w:sz w:val="22"/>
          <w:szCs w:val="22"/>
        </w:rPr>
      </w:pPr>
      <w:r w:rsidRPr="00D85F6F">
        <w:rPr>
          <w:b/>
          <w:bCs/>
          <w:sz w:val="22"/>
          <w:szCs w:val="22"/>
        </w:rPr>
        <w:t>Artikel 1.36. Nadere voorschriften risico-inventarisatie en -evaluatie</w:t>
      </w:r>
    </w:p>
    <w:p w14:paraId="48FCA74A" w14:textId="78259392" w:rsidR="00D85F6F" w:rsidRPr="00D56141" w:rsidRDefault="00D85F6F" w:rsidP="00D56141">
      <w:pPr>
        <w:spacing w:after="0"/>
        <w:rPr>
          <w:sz w:val="22"/>
          <w:szCs w:val="22"/>
        </w:rPr>
      </w:pPr>
      <w:r w:rsidRPr="00D56141">
        <w:rPr>
          <w:b/>
          <w:bCs/>
          <w:sz w:val="22"/>
          <w:szCs w:val="22"/>
        </w:rPr>
        <w:t>1.</w:t>
      </w:r>
      <w:r w:rsidRPr="00D56141">
        <w:rPr>
          <w:sz w:val="22"/>
          <w:szCs w:val="22"/>
        </w:rPr>
        <w:t xml:space="preserve"> </w:t>
      </w:r>
      <w:proofErr w:type="gramStart"/>
      <w:r w:rsidRPr="00D56141">
        <w:rPr>
          <w:sz w:val="22"/>
          <w:szCs w:val="22"/>
        </w:rPr>
        <w:t>Indien</w:t>
      </w:r>
      <w:proofErr w:type="gramEnd"/>
      <w:r w:rsidRPr="00D56141">
        <w:rPr>
          <w:sz w:val="22"/>
          <w:szCs w:val="22"/>
        </w:rPr>
        <w:t xml:space="preserve"> in een bedrijf of inrichting een of meer jeugdige werknemers werkzaam zijn of plegen te zijn wordt in de risico-inventarisatie en -evaluatie, bedoeld in </w:t>
      </w:r>
      <w:hyperlink r:id="rId6" w:history="1">
        <w:r w:rsidRPr="00D56141">
          <w:rPr>
            <w:rStyle w:val="Hyperlink"/>
            <w:sz w:val="22"/>
            <w:szCs w:val="22"/>
          </w:rPr>
          <w:t>artikel 5 van de wet</w:t>
        </w:r>
      </w:hyperlink>
      <w:r w:rsidRPr="00D56141">
        <w:rPr>
          <w:sz w:val="22"/>
          <w:szCs w:val="22"/>
        </w:rPr>
        <w:t>, in het bijzonder aandacht besteed aan:</w:t>
      </w:r>
    </w:p>
    <w:p w14:paraId="1FAA8C5D" w14:textId="77777777" w:rsidR="00D85F6F" w:rsidRPr="00D85F6F" w:rsidRDefault="00D85F6F" w:rsidP="00D56141">
      <w:pPr>
        <w:numPr>
          <w:ilvl w:val="1"/>
          <w:numId w:val="2"/>
        </w:numPr>
        <w:spacing w:after="0"/>
        <w:rPr>
          <w:sz w:val="22"/>
          <w:szCs w:val="22"/>
        </w:rPr>
      </w:pPr>
      <w:proofErr w:type="gramStart"/>
      <w:r w:rsidRPr="00D85F6F">
        <w:rPr>
          <w:b/>
          <w:bCs/>
          <w:sz w:val="22"/>
          <w:szCs w:val="22"/>
        </w:rPr>
        <w:t>a</w:t>
      </w:r>
      <w:proofErr w:type="gramEnd"/>
      <w:r w:rsidRPr="00D85F6F">
        <w:rPr>
          <w:b/>
          <w:bCs/>
          <w:sz w:val="22"/>
          <w:szCs w:val="22"/>
        </w:rPr>
        <w:t>.</w:t>
      </w:r>
      <w:r w:rsidRPr="00D85F6F">
        <w:rPr>
          <w:sz w:val="22"/>
          <w:szCs w:val="22"/>
        </w:rPr>
        <w:t>de specifieke gevaren op het gebied van arbeidsomstandigheden als gevolg van een gebrek aan werkervaring, het niet goed kunnen inschatten van gevaren en het niet voltooid zijn van de geestelijke of lichamelijke ontwikkeling van de jeugdige werknemer;</w:t>
      </w:r>
    </w:p>
    <w:p w14:paraId="6CD79463" w14:textId="77777777" w:rsidR="00D85F6F" w:rsidRPr="00D85F6F" w:rsidRDefault="00D85F6F" w:rsidP="00D56141">
      <w:pPr>
        <w:numPr>
          <w:ilvl w:val="1"/>
          <w:numId w:val="2"/>
        </w:numPr>
        <w:spacing w:after="0"/>
        <w:rPr>
          <w:sz w:val="22"/>
          <w:szCs w:val="22"/>
        </w:rPr>
      </w:pPr>
      <w:proofErr w:type="gramStart"/>
      <w:r w:rsidRPr="00D85F6F">
        <w:rPr>
          <w:b/>
          <w:bCs/>
          <w:sz w:val="22"/>
          <w:szCs w:val="22"/>
        </w:rPr>
        <w:t>b</w:t>
      </w:r>
      <w:proofErr w:type="gramEnd"/>
      <w:r w:rsidRPr="00D85F6F">
        <w:rPr>
          <w:b/>
          <w:bCs/>
          <w:sz w:val="22"/>
          <w:szCs w:val="22"/>
        </w:rPr>
        <w:t>.</w:t>
      </w:r>
      <w:r w:rsidRPr="00D85F6F">
        <w:rPr>
          <w:sz w:val="22"/>
          <w:szCs w:val="22"/>
        </w:rPr>
        <w:t>de uitrusting en inrichting van de arbeidsplaats;</w:t>
      </w:r>
    </w:p>
    <w:p w14:paraId="25649A8B" w14:textId="77777777" w:rsidR="00D85F6F" w:rsidRPr="00D85F6F" w:rsidRDefault="00D85F6F" w:rsidP="00D56141">
      <w:pPr>
        <w:numPr>
          <w:ilvl w:val="1"/>
          <w:numId w:val="2"/>
        </w:numPr>
        <w:spacing w:after="0"/>
        <w:rPr>
          <w:sz w:val="22"/>
          <w:szCs w:val="22"/>
        </w:rPr>
      </w:pPr>
      <w:r w:rsidRPr="00D85F6F">
        <w:rPr>
          <w:b/>
          <w:bCs/>
          <w:sz w:val="22"/>
          <w:szCs w:val="22"/>
        </w:rPr>
        <w:t>c.</w:t>
      </w:r>
      <w:r w:rsidRPr="00D85F6F">
        <w:rPr>
          <w:sz w:val="22"/>
          <w:szCs w:val="22"/>
        </w:rPr>
        <w:t>de aard, de mate en de duur van de blootstelling aan stoffen, agentia en fysische factoren;</w:t>
      </w:r>
    </w:p>
    <w:p w14:paraId="1F8994A6" w14:textId="77777777" w:rsidR="00D85F6F" w:rsidRPr="00D85F6F" w:rsidRDefault="00D85F6F" w:rsidP="00D56141">
      <w:pPr>
        <w:numPr>
          <w:ilvl w:val="1"/>
          <w:numId w:val="2"/>
        </w:numPr>
        <w:spacing w:after="0"/>
        <w:rPr>
          <w:sz w:val="22"/>
          <w:szCs w:val="22"/>
        </w:rPr>
      </w:pPr>
      <w:r w:rsidRPr="00D85F6F">
        <w:rPr>
          <w:b/>
          <w:bCs/>
          <w:sz w:val="22"/>
          <w:szCs w:val="22"/>
        </w:rPr>
        <w:t>d.</w:t>
      </w:r>
      <w:r w:rsidRPr="00D85F6F">
        <w:rPr>
          <w:sz w:val="22"/>
          <w:szCs w:val="22"/>
        </w:rPr>
        <w:t>de keuze en het gebruik van arbeidsmiddelen en persoonlijke beschermingsmiddelen;</w:t>
      </w:r>
    </w:p>
    <w:p w14:paraId="7C186916" w14:textId="77777777" w:rsidR="00D85F6F" w:rsidRPr="00D85F6F" w:rsidRDefault="00D85F6F" w:rsidP="00D56141">
      <w:pPr>
        <w:numPr>
          <w:ilvl w:val="1"/>
          <w:numId w:val="2"/>
        </w:numPr>
        <w:spacing w:after="0"/>
        <w:rPr>
          <w:sz w:val="22"/>
          <w:szCs w:val="22"/>
        </w:rPr>
      </w:pPr>
      <w:proofErr w:type="spellStart"/>
      <w:proofErr w:type="gramStart"/>
      <w:r w:rsidRPr="00D85F6F">
        <w:rPr>
          <w:b/>
          <w:bCs/>
          <w:sz w:val="22"/>
          <w:szCs w:val="22"/>
        </w:rPr>
        <w:t>e.</w:t>
      </w:r>
      <w:r w:rsidRPr="00D85F6F">
        <w:rPr>
          <w:sz w:val="22"/>
          <w:szCs w:val="22"/>
        </w:rPr>
        <w:t>het</w:t>
      </w:r>
      <w:proofErr w:type="spellEnd"/>
      <w:proofErr w:type="gramEnd"/>
      <w:r w:rsidRPr="00D85F6F">
        <w:rPr>
          <w:sz w:val="22"/>
          <w:szCs w:val="22"/>
        </w:rPr>
        <w:t xml:space="preserve"> geheel van werkzaamheden in het bedrijf of de inrichting en de organisatie daarvan, en</w:t>
      </w:r>
    </w:p>
    <w:p w14:paraId="4F846774" w14:textId="77777777" w:rsidR="00D85F6F" w:rsidRPr="00D85F6F" w:rsidRDefault="00D85F6F" w:rsidP="00D56141">
      <w:pPr>
        <w:numPr>
          <w:ilvl w:val="1"/>
          <w:numId w:val="2"/>
        </w:numPr>
        <w:spacing w:after="0"/>
        <w:rPr>
          <w:sz w:val="22"/>
          <w:szCs w:val="22"/>
        </w:rPr>
      </w:pPr>
      <w:proofErr w:type="spellStart"/>
      <w:proofErr w:type="gramStart"/>
      <w:r w:rsidRPr="00D85F6F">
        <w:rPr>
          <w:b/>
          <w:bCs/>
          <w:sz w:val="22"/>
          <w:szCs w:val="22"/>
        </w:rPr>
        <w:t>f.</w:t>
      </w:r>
      <w:r w:rsidRPr="00D85F6F">
        <w:rPr>
          <w:sz w:val="22"/>
          <w:szCs w:val="22"/>
        </w:rPr>
        <w:t>het</w:t>
      </w:r>
      <w:proofErr w:type="spellEnd"/>
      <w:proofErr w:type="gramEnd"/>
      <w:r w:rsidRPr="00D85F6F">
        <w:rPr>
          <w:sz w:val="22"/>
          <w:szCs w:val="22"/>
        </w:rPr>
        <w:t xml:space="preserve"> opleidingsniveau van de jeugdige werknemers en de aan hen te geven voorlichting.</w:t>
      </w:r>
    </w:p>
    <w:p w14:paraId="3659C136" w14:textId="77777777" w:rsidR="003E3535" w:rsidRDefault="00D85F6F" w:rsidP="003E3535">
      <w:pPr>
        <w:rPr>
          <w:sz w:val="22"/>
          <w:szCs w:val="22"/>
        </w:rPr>
      </w:pPr>
      <w:r w:rsidRPr="00D85F6F">
        <w:rPr>
          <w:b/>
          <w:bCs/>
          <w:sz w:val="22"/>
          <w:szCs w:val="22"/>
        </w:rPr>
        <w:t>2</w:t>
      </w:r>
      <w:r w:rsidRPr="00D56141">
        <w:rPr>
          <w:b/>
          <w:bCs/>
          <w:sz w:val="22"/>
          <w:szCs w:val="22"/>
        </w:rPr>
        <w:t xml:space="preserve">. </w:t>
      </w:r>
      <w:r w:rsidRPr="00D85F6F">
        <w:rPr>
          <w:sz w:val="22"/>
          <w:szCs w:val="22"/>
        </w:rPr>
        <w:t xml:space="preserve">Voorts wordt in de risico-inventarisatie en -evaluatie bijzondere aandacht besteed aan de niet-volledige lijst van agentia, </w:t>
      </w:r>
      <w:proofErr w:type="spellStart"/>
      <w:r w:rsidRPr="00D85F6F">
        <w:rPr>
          <w:sz w:val="22"/>
          <w:szCs w:val="22"/>
        </w:rPr>
        <w:t>procédés</w:t>
      </w:r>
      <w:proofErr w:type="spellEnd"/>
      <w:r w:rsidRPr="00D85F6F">
        <w:rPr>
          <w:sz w:val="22"/>
          <w:szCs w:val="22"/>
        </w:rPr>
        <w:t xml:space="preserve"> en werkzaamheden, opgenomen in de bijlage bij de richtlijn.</w:t>
      </w:r>
    </w:p>
    <w:p w14:paraId="72EFB0E8" w14:textId="3B4A8EEC" w:rsidR="00A8391B" w:rsidRPr="00A8391B" w:rsidRDefault="00A8391B" w:rsidP="003E3535">
      <w:pPr>
        <w:spacing w:after="0"/>
        <w:rPr>
          <w:b/>
          <w:bCs/>
          <w:sz w:val="22"/>
          <w:szCs w:val="22"/>
        </w:rPr>
      </w:pPr>
      <w:r w:rsidRPr="00A8391B">
        <w:rPr>
          <w:b/>
          <w:bCs/>
          <w:sz w:val="22"/>
          <w:szCs w:val="22"/>
        </w:rPr>
        <w:t>Artikel 1.37. Deskundig toezicht</w:t>
      </w:r>
    </w:p>
    <w:p w14:paraId="311B90EA" w14:textId="08E5D2C3" w:rsidR="00A8391B" w:rsidRPr="00A8391B" w:rsidRDefault="00A8391B" w:rsidP="003E3535">
      <w:pPr>
        <w:numPr>
          <w:ilvl w:val="0"/>
          <w:numId w:val="6"/>
        </w:numPr>
        <w:spacing w:after="0"/>
        <w:rPr>
          <w:sz w:val="22"/>
          <w:szCs w:val="22"/>
        </w:rPr>
      </w:pPr>
      <w:r w:rsidRPr="00A8391B">
        <w:rPr>
          <w:b/>
          <w:bCs/>
          <w:sz w:val="22"/>
          <w:szCs w:val="22"/>
        </w:rPr>
        <w:t>1</w:t>
      </w:r>
      <w:r w:rsidRPr="00D56141">
        <w:rPr>
          <w:b/>
          <w:bCs/>
          <w:sz w:val="22"/>
          <w:szCs w:val="22"/>
        </w:rPr>
        <w:t xml:space="preserve">. </w:t>
      </w:r>
      <w:proofErr w:type="gramStart"/>
      <w:r w:rsidRPr="00A8391B">
        <w:rPr>
          <w:sz w:val="22"/>
          <w:szCs w:val="22"/>
        </w:rPr>
        <w:t>Indien</w:t>
      </w:r>
      <w:proofErr w:type="gramEnd"/>
      <w:r w:rsidRPr="00A8391B">
        <w:rPr>
          <w:sz w:val="22"/>
          <w:szCs w:val="22"/>
        </w:rPr>
        <w:t xml:space="preserve"> in een bedrijf of inrichting jeugdige werknemers arbeid verrichten, wordt op die arbeid adequaat deskundig toezicht uitgeoefend. De inhoud en de mate van het toezicht is afhankelijk van de uit de risico-inventarisatie en -evaluatie, bedoeld in </w:t>
      </w:r>
      <w:hyperlink r:id="rId7" w:history="1">
        <w:r w:rsidRPr="00A8391B">
          <w:rPr>
            <w:rStyle w:val="Hyperlink"/>
            <w:sz w:val="22"/>
            <w:szCs w:val="22"/>
          </w:rPr>
          <w:t>artikel 5 van de wet</w:t>
        </w:r>
      </w:hyperlink>
      <w:r w:rsidRPr="00A8391B">
        <w:rPr>
          <w:sz w:val="22"/>
          <w:szCs w:val="22"/>
        </w:rPr>
        <w:t xml:space="preserve">, gebleken gevaren die kunnen ontstaan, </w:t>
      </w:r>
      <w:proofErr w:type="gramStart"/>
      <w:r w:rsidRPr="00A8391B">
        <w:rPr>
          <w:sz w:val="22"/>
          <w:szCs w:val="22"/>
        </w:rPr>
        <w:t>indien</w:t>
      </w:r>
      <w:proofErr w:type="gramEnd"/>
      <w:r w:rsidRPr="00A8391B">
        <w:rPr>
          <w:sz w:val="22"/>
          <w:szCs w:val="22"/>
        </w:rPr>
        <w:t xml:space="preserve"> deskundig toezicht ontbreekt.</w:t>
      </w:r>
    </w:p>
    <w:p w14:paraId="09932CEA" w14:textId="0A44A2AD" w:rsidR="00A8391B" w:rsidRPr="00A8391B" w:rsidRDefault="00A8391B" w:rsidP="00A8391B">
      <w:pPr>
        <w:numPr>
          <w:ilvl w:val="0"/>
          <w:numId w:val="7"/>
        </w:numPr>
        <w:rPr>
          <w:sz w:val="22"/>
          <w:szCs w:val="22"/>
        </w:rPr>
      </w:pPr>
      <w:r w:rsidRPr="00A8391B">
        <w:rPr>
          <w:b/>
          <w:bCs/>
          <w:sz w:val="22"/>
          <w:szCs w:val="22"/>
        </w:rPr>
        <w:t>2</w:t>
      </w:r>
      <w:r w:rsidRPr="00D56141">
        <w:rPr>
          <w:b/>
          <w:bCs/>
          <w:sz w:val="22"/>
          <w:szCs w:val="22"/>
        </w:rPr>
        <w:t xml:space="preserve">. </w:t>
      </w:r>
      <w:r w:rsidRPr="00A8391B">
        <w:rPr>
          <w:sz w:val="22"/>
          <w:szCs w:val="22"/>
        </w:rPr>
        <w:t>Indien uit de risico-inventarisatie en -evaluatie, bedoeld in </w:t>
      </w:r>
      <w:hyperlink r:id="rId8" w:anchor="Hoofdstuk1_Afdeling8_Artikel1.36" w:history="1">
        <w:r w:rsidRPr="00A8391B">
          <w:rPr>
            <w:rStyle w:val="Hyperlink"/>
            <w:sz w:val="22"/>
            <w:szCs w:val="22"/>
          </w:rPr>
          <w:t>artikel 1.36</w:t>
        </w:r>
      </w:hyperlink>
      <w:r w:rsidRPr="00A8391B">
        <w:rPr>
          <w:sz w:val="22"/>
          <w:szCs w:val="22"/>
        </w:rPr>
        <w:t xml:space="preserve">, blijkt, dat jeugdige werknemers arbeid moeten verrichten waaraan specifieke gevaren, met name voor arbeidsongevallen als gevolg van een gebrek aan werkervaring, het niet goed kunnen inschatten van gevaren en het niet voltooid zijn van de geestelijke en lichamelijke ontwikkeling van de jeugdige werknemer, zijn verbonden, mag die arbeid slechts worden verricht, indien het deskundig toezicht zodanig is georganiseerd dat die gevaren worden voorkomen. </w:t>
      </w:r>
      <w:proofErr w:type="gramStart"/>
      <w:r w:rsidRPr="00A8391B">
        <w:rPr>
          <w:sz w:val="22"/>
          <w:szCs w:val="22"/>
        </w:rPr>
        <w:t>Indien</w:t>
      </w:r>
      <w:proofErr w:type="gramEnd"/>
      <w:r w:rsidRPr="00A8391B">
        <w:rPr>
          <w:sz w:val="22"/>
          <w:szCs w:val="22"/>
        </w:rPr>
        <w:t xml:space="preserve"> dat niet mogelijk is, mag die arbeid niet door jeugdige werknemers worden verricht.</w:t>
      </w:r>
    </w:p>
    <w:p w14:paraId="6A99265E" w14:textId="77777777" w:rsidR="00A8391B" w:rsidRPr="00A8391B" w:rsidRDefault="00A8391B" w:rsidP="00D56141">
      <w:pPr>
        <w:spacing w:after="0"/>
        <w:rPr>
          <w:b/>
          <w:bCs/>
          <w:sz w:val="22"/>
          <w:szCs w:val="22"/>
        </w:rPr>
      </w:pPr>
      <w:r w:rsidRPr="00A8391B">
        <w:rPr>
          <w:b/>
          <w:bCs/>
          <w:sz w:val="22"/>
          <w:szCs w:val="22"/>
        </w:rPr>
        <w:t>Artikel 1.38. Arbeidsgezondheidskundig onderzoek</w:t>
      </w:r>
    </w:p>
    <w:p w14:paraId="4F5E3CCE" w14:textId="79076215" w:rsidR="00A8391B" w:rsidRDefault="00A8391B" w:rsidP="00F043F7">
      <w:pPr>
        <w:spacing w:after="0"/>
        <w:rPr>
          <w:sz w:val="22"/>
          <w:szCs w:val="22"/>
        </w:rPr>
      </w:pPr>
      <w:r w:rsidRPr="00A8391B">
        <w:rPr>
          <w:sz w:val="22"/>
          <w:szCs w:val="22"/>
        </w:rPr>
        <w:t>In aanvulling op </w:t>
      </w:r>
      <w:hyperlink r:id="rId9" w:history="1">
        <w:r w:rsidRPr="00A8391B">
          <w:rPr>
            <w:rStyle w:val="Hyperlink"/>
            <w:sz w:val="22"/>
            <w:szCs w:val="22"/>
          </w:rPr>
          <w:t>artikel 18 van de wet</w:t>
        </w:r>
      </w:hyperlink>
      <w:r w:rsidRPr="00A8391B">
        <w:rPr>
          <w:sz w:val="22"/>
          <w:szCs w:val="22"/>
        </w:rPr>
        <w:t> worden jeugdige werknemers in de gelegenheid gesteld om een arbeidsgezondheidskundig onderzoek te ondergaan, zodra uit de risico-inventarisatie en -evaluatie, bedoeld in </w:t>
      </w:r>
      <w:hyperlink r:id="rId10" w:anchor="Hoofdstuk1_Afdeling8_Artikel1.36" w:history="1">
        <w:r w:rsidRPr="00A8391B">
          <w:rPr>
            <w:rStyle w:val="Hyperlink"/>
            <w:sz w:val="22"/>
            <w:szCs w:val="22"/>
          </w:rPr>
          <w:t>artikel 1.36</w:t>
        </w:r>
      </w:hyperlink>
      <w:r w:rsidRPr="00A8391B">
        <w:rPr>
          <w:sz w:val="22"/>
          <w:szCs w:val="22"/>
        </w:rPr>
        <w:t>, blijkt, dat jeugdige werknemers arbeid moeten verrichten waaraan specifieke gevaren, met name voor arbeidsongevallen als gevolg van het gebrek aan werkervaring, het niet goed kunnen inschatten van gevaren en het niet voltooid zijn van de geestelijke en lichamelijke ontwikkeling van de jeugdige werknemer, zijn verbonden.</w:t>
      </w:r>
    </w:p>
    <w:p w14:paraId="6ADF8074" w14:textId="77777777" w:rsidR="00F043F7" w:rsidRPr="00D56141" w:rsidRDefault="00F043F7" w:rsidP="00F043F7">
      <w:pPr>
        <w:spacing w:after="0"/>
        <w:rPr>
          <w:sz w:val="22"/>
          <w:szCs w:val="22"/>
        </w:rPr>
      </w:pPr>
    </w:p>
    <w:p w14:paraId="7CA7B306" w14:textId="77777777" w:rsidR="005A4C98" w:rsidRPr="005A4C98" w:rsidRDefault="005A4C98" w:rsidP="003E3535">
      <w:pPr>
        <w:spacing w:after="0"/>
        <w:rPr>
          <w:b/>
          <w:bCs/>
          <w:sz w:val="22"/>
          <w:szCs w:val="22"/>
        </w:rPr>
      </w:pPr>
      <w:r w:rsidRPr="005A4C98">
        <w:rPr>
          <w:b/>
          <w:bCs/>
          <w:sz w:val="22"/>
          <w:szCs w:val="22"/>
        </w:rPr>
        <w:t>Artikel 3.46. Deskundig toezicht</w:t>
      </w:r>
    </w:p>
    <w:p w14:paraId="62A411D9" w14:textId="16FFEE7B" w:rsidR="00A56B14" w:rsidRDefault="00A56B14" w:rsidP="003E3535">
      <w:pPr>
        <w:spacing w:after="0"/>
        <w:rPr>
          <w:sz w:val="22"/>
          <w:szCs w:val="22"/>
        </w:rPr>
      </w:pPr>
      <w:r w:rsidRPr="00A56B14">
        <w:rPr>
          <w:sz w:val="22"/>
          <w:szCs w:val="22"/>
        </w:rPr>
        <w:t xml:space="preserve">In aanvulling op het bepaalde bij of </w:t>
      </w:r>
      <w:proofErr w:type="gramStart"/>
      <w:r w:rsidRPr="00A56B14">
        <w:rPr>
          <w:sz w:val="22"/>
          <w:szCs w:val="22"/>
        </w:rPr>
        <w:t>krachtens</w:t>
      </w:r>
      <w:proofErr w:type="gramEnd"/>
      <w:r w:rsidRPr="00A56B14">
        <w:rPr>
          <w:sz w:val="22"/>
          <w:szCs w:val="22"/>
        </w:rPr>
        <w:t xml:space="preserve"> dit hoofdstuk gelden voor jeugdige werknemers tevens de in deze paragraaf genoemde voorschriften en verboden</w:t>
      </w:r>
      <w:r w:rsidR="003F5A51">
        <w:rPr>
          <w:sz w:val="22"/>
          <w:szCs w:val="22"/>
        </w:rPr>
        <w:t>.</w:t>
      </w:r>
    </w:p>
    <w:p w14:paraId="1A595B5F" w14:textId="066B6F93" w:rsidR="005A4C98" w:rsidRPr="005A4C98" w:rsidRDefault="005A4C98" w:rsidP="003E3535">
      <w:pPr>
        <w:spacing w:after="0"/>
        <w:rPr>
          <w:sz w:val="22"/>
          <w:szCs w:val="22"/>
        </w:rPr>
      </w:pPr>
      <w:hyperlink r:id="rId11" w:anchor="Hoofdstuk1_Afdeling8_Artikel1.37" w:history="1">
        <w:r w:rsidRPr="005A4C98">
          <w:rPr>
            <w:rStyle w:val="Hyperlink"/>
            <w:sz w:val="22"/>
            <w:szCs w:val="22"/>
          </w:rPr>
          <w:t>Artikel 1.37, tweede lid</w:t>
        </w:r>
      </w:hyperlink>
      <w:r w:rsidRPr="005A4C98">
        <w:rPr>
          <w:sz w:val="22"/>
          <w:szCs w:val="22"/>
        </w:rPr>
        <w:t>, is van overeenkomstige toepassing op jeugdige werknemers die:</w:t>
      </w:r>
    </w:p>
    <w:p w14:paraId="7112FD7C" w14:textId="77777777" w:rsidR="005A4C98" w:rsidRPr="005A4C98" w:rsidRDefault="005A4C98" w:rsidP="003E3535">
      <w:pPr>
        <w:numPr>
          <w:ilvl w:val="0"/>
          <w:numId w:val="11"/>
        </w:numPr>
        <w:spacing w:after="0"/>
        <w:rPr>
          <w:sz w:val="22"/>
          <w:szCs w:val="22"/>
        </w:rPr>
      </w:pPr>
      <w:proofErr w:type="spellStart"/>
      <w:proofErr w:type="gramStart"/>
      <w:r w:rsidRPr="005A4C98">
        <w:rPr>
          <w:b/>
          <w:bCs/>
          <w:sz w:val="22"/>
          <w:szCs w:val="22"/>
        </w:rPr>
        <w:t>a.</w:t>
      </w:r>
      <w:r w:rsidRPr="005A4C98">
        <w:rPr>
          <w:sz w:val="22"/>
          <w:szCs w:val="22"/>
        </w:rPr>
        <w:t>arbeid</w:t>
      </w:r>
      <w:proofErr w:type="spellEnd"/>
      <w:proofErr w:type="gramEnd"/>
      <w:r w:rsidRPr="005A4C98">
        <w:rPr>
          <w:sz w:val="22"/>
          <w:szCs w:val="22"/>
        </w:rPr>
        <w:t xml:space="preserve"> verrichten waarbij gevaar voor instorting bestaat;</w:t>
      </w:r>
    </w:p>
    <w:p w14:paraId="2014BC11" w14:textId="552DA01E" w:rsidR="00EC73E2" w:rsidRDefault="005A4C98" w:rsidP="00F043F7">
      <w:pPr>
        <w:numPr>
          <w:ilvl w:val="0"/>
          <w:numId w:val="11"/>
        </w:numPr>
        <w:spacing w:after="0"/>
        <w:rPr>
          <w:sz w:val="22"/>
          <w:szCs w:val="22"/>
        </w:rPr>
      </w:pPr>
      <w:proofErr w:type="spellStart"/>
      <w:proofErr w:type="gramStart"/>
      <w:r w:rsidRPr="005A4C98">
        <w:rPr>
          <w:b/>
          <w:bCs/>
          <w:sz w:val="22"/>
          <w:szCs w:val="22"/>
        </w:rPr>
        <w:t>b.</w:t>
      </w:r>
      <w:r w:rsidRPr="005A4C98">
        <w:rPr>
          <w:sz w:val="22"/>
          <w:szCs w:val="22"/>
        </w:rPr>
        <w:t>arbeid</w:t>
      </w:r>
      <w:proofErr w:type="spellEnd"/>
      <w:proofErr w:type="gramEnd"/>
      <w:r w:rsidRPr="005A4C98">
        <w:rPr>
          <w:sz w:val="22"/>
          <w:szCs w:val="22"/>
        </w:rPr>
        <w:t xml:space="preserve"> verrichten aan, met of in de directe nabijheid van hoogspanningsinstallaties, bedoeld in </w:t>
      </w:r>
      <w:hyperlink r:id="rId12" w:anchor="Hoofdstuk3_Afdeling1_Paragraaf1_Artikel3.1" w:history="1">
        <w:r w:rsidRPr="005A4C98">
          <w:rPr>
            <w:rStyle w:val="Hyperlink"/>
            <w:sz w:val="22"/>
            <w:szCs w:val="22"/>
          </w:rPr>
          <w:t>artikel 3.1</w:t>
        </w:r>
      </w:hyperlink>
      <w:r w:rsidRPr="005A4C98">
        <w:rPr>
          <w:sz w:val="22"/>
          <w:szCs w:val="22"/>
        </w:rPr>
        <w:t>.</w:t>
      </w:r>
    </w:p>
    <w:p w14:paraId="73397F2D" w14:textId="77777777" w:rsidR="00F043F7" w:rsidRPr="00F043F7" w:rsidRDefault="00F043F7" w:rsidP="00F043F7">
      <w:pPr>
        <w:spacing w:after="0"/>
        <w:ind w:left="720"/>
        <w:rPr>
          <w:sz w:val="22"/>
          <w:szCs w:val="22"/>
        </w:rPr>
      </w:pPr>
    </w:p>
    <w:p w14:paraId="49D50EF8" w14:textId="77777777" w:rsidR="005A4C98" w:rsidRDefault="005A4C98" w:rsidP="003E3535">
      <w:pPr>
        <w:spacing w:after="0"/>
        <w:rPr>
          <w:b/>
          <w:bCs/>
          <w:sz w:val="22"/>
          <w:szCs w:val="22"/>
        </w:rPr>
      </w:pPr>
      <w:r w:rsidRPr="005A4C98">
        <w:rPr>
          <w:b/>
          <w:bCs/>
          <w:sz w:val="22"/>
          <w:szCs w:val="22"/>
        </w:rPr>
        <w:t>Artikel 4.105. Arbeidsverboden voor gevaarlijke stoffen en biologische agentia</w:t>
      </w:r>
    </w:p>
    <w:p w14:paraId="7606BCA1" w14:textId="77777777" w:rsidR="005A4C98" w:rsidRPr="005A4C98" w:rsidRDefault="005A4C98" w:rsidP="003E3535">
      <w:pPr>
        <w:numPr>
          <w:ilvl w:val="0"/>
          <w:numId w:val="13"/>
        </w:numPr>
        <w:spacing w:after="0"/>
        <w:rPr>
          <w:sz w:val="22"/>
          <w:szCs w:val="22"/>
        </w:rPr>
      </w:pPr>
      <w:r w:rsidRPr="005A4C98">
        <w:rPr>
          <w:b/>
          <w:bCs/>
          <w:sz w:val="22"/>
          <w:szCs w:val="22"/>
        </w:rPr>
        <w:t>1</w:t>
      </w:r>
      <w:r w:rsidRPr="005A4C98">
        <w:rPr>
          <w:sz w:val="22"/>
          <w:szCs w:val="22"/>
        </w:rPr>
        <w:t>Jeugdige werknemers verrichten geen arbeid met of worden niet blootgesteld aan een gevaarlijke stof die voldoet aan criteria voor een of meer van de volgende gevarenaanduidingen als bedoeld in EG-verordening indeling, etikettering en verpakking van stoffen en mengsels: H-zinnen 300, 301, 310, 311, 317, 330, 331, 334, 340, 341, 350, 350i, 351, 360, 360F, 360D, 360FD, 360Fd, 360Df, 361, 361f, 361d, 361fd, 362, 370, 371, 372 of 373.</w:t>
      </w:r>
    </w:p>
    <w:p w14:paraId="7B7F5742" w14:textId="77777777" w:rsidR="005A4C98" w:rsidRPr="005A4C98" w:rsidRDefault="005A4C98" w:rsidP="003E3535">
      <w:pPr>
        <w:numPr>
          <w:ilvl w:val="0"/>
          <w:numId w:val="14"/>
        </w:numPr>
        <w:spacing w:after="0"/>
        <w:rPr>
          <w:sz w:val="22"/>
          <w:szCs w:val="22"/>
        </w:rPr>
      </w:pPr>
      <w:r w:rsidRPr="005A4C98">
        <w:rPr>
          <w:b/>
          <w:bCs/>
          <w:sz w:val="22"/>
          <w:szCs w:val="22"/>
        </w:rPr>
        <w:t>2</w:t>
      </w:r>
      <w:r w:rsidRPr="005A4C98">
        <w:rPr>
          <w:sz w:val="22"/>
          <w:szCs w:val="22"/>
        </w:rPr>
        <w:t>Jeugdige werknemers verrichten geen arbeid met of worden niet blootgesteld aan biologische agentia van categorie 3 of 4, bedoeld in </w:t>
      </w:r>
      <w:hyperlink r:id="rId13" w:anchor="Hoofdstuk4_Afdeling9" w:history="1">
        <w:r w:rsidRPr="005A4C98">
          <w:rPr>
            <w:rStyle w:val="Hyperlink"/>
            <w:sz w:val="22"/>
            <w:szCs w:val="22"/>
          </w:rPr>
          <w:t>afdeling 9</w:t>
        </w:r>
      </w:hyperlink>
      <w:r w:rsidRPr="005A4C98">
        <w:rPr>
          <w:sz w:val="22"/>
          <w:szCs w:val="22"/>
        </w:rPr>
        <w:t> van dit hoofdstuk.</w:t>
      </w:r>
    </w:p>
    <w:p w14:paraId="78E35765" w14:textId="5F301DB9" w:rsidR="00EC73E2" w:rsidRDefault="005A4C98" w:rsidP="00F043F7">
      <w:pPr>
        <w:numPr>
          <w:ilvl w:val="0"/>
          <w:numId w:val="15"/>
        </w:numPr>
        <w:spacing w:after="0"/>
        <w:rPr>
          <w:sz w:val="22"/>
          <w:szCs w:val="22"/>
        </w:rPr>
      </w:pPr>
      <w:r w:rsidRPr="005A4C98">
        <w:rPr>
          <w:b/>
          <w:bCs/>
          <w:sz w:val="22"/>
          <w:szCs w:val="22"/>
        </w:rPr>
        <w:t>3</w:t>
      </w:r>
      <w:r w:rsidRPr="005A4C98">
        <w:rPr>
          <w:sz w:val="22"/>
          <w:szCs w:val="22"/>
        </w:rPr>
        <w:t>Voorts verrichten jeugdige werknemers geen arbeid aan of met kuipen, bassins, leidingen of reservoirs waarin zich een of meer van de in het eerste of tweede lid bedoelde stoffen of biologische agentia bevinden.</w:t>
      </w:r>
    </w:p>
    <w:p w14:paraId="6623AF21" w14:textId="77777777" w:rsidR="00F043F7" w:rsidRPr="00F043F7" w:rsidRDefault="00F043F7" w:rsidP="00F043F7">
      <w:pPr>
        <w:spacing w:after="0"/>
        <w:ind w:left="720"/>
        <w:rPr>
          <w:sz w:val="22"/>
          <w:szCs w:val="22"/>
        </w:rPr>
      </w:pPr>
    </w:p>
    <w:p w14:paraId="34A4A5A8" w14:textId="77777777" w:rsidR="004114C4" w:rsidRDefault="004114C4" w:rsidP="003E3535">
      <w:pPr>
        <w:spacing w:after="0"/>
        <w:rPr>
          <w:b/>
          <w:bCs/>
          <w:sz w:val="22"/>
          <w:szCs w:val="22"/>
        </w:rPr>
      </w:pPr>
      <w:r w:rsidRPr="004114C4">
        <w:rPr>
          <w:b/>
          <w:bCs/>
          <w:sz w:val="22"/>
          <w:szCs w:val="22"/>
        </w:rPr>
        <w:t>Artikel 4.106. Deskundig toezicht bij arbeid met gevaarlijke stoffen</w:t>
      </w:r>
    </w:p>
    <w:p w14:paraId="0AEF7BD8" w14:textId="736D6622" w:rsidR="007909B8" w:rsidRPr="004114C4" w:rsidRDefault="007909B8" w:rsidP="003E3535">
      <w:pPr>
        <w:spacing w:after="0"/>
        <w:rPr>
          <w:sz w:val="22"/>
          <w:szCs w:val="22"/>
        </w:rPr>
      </w:pPr>
      <w:r w:rsidRPr="007909B8">
        <w:rPr>
          <w:sz w:val="22"/>
          <w:szCs w:val="22"/>
        </w:rPr>
        <w:t xml:space="preserve">De volgende werkzaamheden mogen onder deskundig toezicht worden uitgevoerd: </w:t>
      </w:r>
    </w:p>
    <w:p w14:paraId="589074AD" w14:textId="77777777" w:rsidR="004114C4" w:rsidRPr="004114C4" w:rsidRDefault="004114C4" w:rsidP="003E3535">
      <w:pPr>
        <w:spacing w:after="0"/>
        <w:rPr>
          <w:sz w:val="22"/>
          <w:szCs w:val="22"/>
        </w:rPr>
      </w:pPr>
      <w:hyperlink r:id="rId14" w:anchor="Hoofdstuk1_Afdeling8_Artikel1.37" w:history="1">
        <w:r w:rsidRPr="004114C4">
          <w:rPr>
            <w:rStyle w:val="Hyperlink"/>
            <w:sz w:val="22"/>
            <w:szCs w:val="22"/>
          </w:rPr>
          <w:t>Artikel 1.37, tweede lid</w:t>
        </w:r>
      </w:hyperlink>
      <w:r w:rsidRPr="004114C4">
        <w:rPr>
          <w:sz w:val="22"/>
          <w:szCs w:val="22"/>
        </w:rPr>
        <w:t>, is van overeenkomstige toepassing op jeugdige werknemers die:</w:t>
      </w:r>
    </w:p>
    <w:p w14:paraId="38D8EFDC" w14:textId="77777777" w:rsidR="004114C4" w:rsidRPr="004114C4" w:rsidRDefault="004114C4" w:rsidP="003E3535">
      <w:pPr>
        <w:numPr>
          <w:ilvl w:val="0"/>
          <w:numId w:val="17"/>
        </w:numPr>
        <w:spacing w:after="0"/>
        <w:rPr>
          <w:sz w:val="22"/>
          <w:szCs w:val="22"/>
        </w:rPr>
      </w:pPr>
      <w:proofErr w:type="spellStart"/>
      <w:proofErr w:type="gramStart"/>
      <w:r w:rsidRPr="004114C4">
        <w:rPr>
          <w:b/>
          <w:bCs/>
          <w:sz w:val="22"/>
          <w:szCs w:val="22"/>
        </w:rPr>
        <w:t>a.</w:t>
      </w:r>
      <w:r w:rsidRPr="004114C4">
        <w:rPr>
          <w:sz w:val="22"/>
          <w:szCs w:val="22"/>
        </w:rPr>
        <w:t>arbeid</w:t>
      </w:r>
      <w:proofErr w:type="spellEnd"/>
      <w:proofErr w:type="gramEnd"/>
      <w:r w:rsidRPr="004114C4">
        <w:rPr>
          <w:sz w:val="22"/>
          <w:szCs w:val="22"/>
        </w:rPr>
        <w:t xml:space="preserve"> verrichten met een gevaarlijke stof die voldoet aan criteria voor een van de volgende gevarenaanduidingen als bedoeld in EG-verordening indeling, etikettering en verpakking van stoffen en mengsels: H-zinnen 200, 201, 202, 203, 204, 205, 220, 221, 222, 224, 225, 240, 241, 242, 314, 315, 318, 319 of 335, of de bijzondere aanduidingen: EUH070 of EUH071;</w:t>
      </w:r>
    </w:p>
    <w:p w14:paraId="75768AAF" w14:textId="77777777" w:rsidR="004114C4" w:rsidRPr="004114C4" w:rsidRDefault="004114C4" w:rsidP="003E3535">
      <w:pPr>
        <w:numPr>
          <w:ilvl w:val="0"/>
          <w:numId w:val="17"/>
        </w:numPr>
        <w:spacing w:after="0"/>
        <w:rPr>
          <w:sz w:val="22"/>
          <w:szCs w:val="22"/>
        </w:rPr>
      </w:pPr>
      <w:proofErr w:type="spellStart"/>
      <w:proofErr w:type="gramStart"/>
      <w:r w:rsidRPr="004114C4">
        <w:rPr>
          <w:b/>
          <w:bCs/>
          <w:sz w:val="22"/>
          <w:szCs w:val="22"/>
        </w:rPr>
        <w:t>b.</w:t>
      </w:r>
      <w:r w:rsidRPr="004114C4">
        <w:rPr>
          <w:sz w:val="22"/>
          <w:szCs w:val="22"/>
        </w:rPr>
        <w:t>arbeid</w:t>
      </w:r>
      <w:proofErr w:type="spellEnd"/>
      <w:proofErr w:type="gramEnd"/>
      <w:r w:rsidRPr="004114C4">
        <w:rPr>
          <w:sz w:val="22"/>
          <w:szCs w:val="22"/>
        </w:rPr>
        <w:t xml:space="preserve"> verrichten met persgassen, onder druk vloeibaar gemaakte gassen, door sterke temperatuurverlaging vloeibaar gemaakte gassen en opgeloste gassen;</w:t>
      </w:r>
    </w:p>
    <w:p w14:paraId="5FB34B84" w14:textId="77777777" w:rsidR="004114C4" w:rsidRPr="004114C4" w:rsidRDefault="004114C4" w:rsidP="003E3535">
      <w:pPr>
        <w:numPr>
          <w:ilvl w:val="0"/>
          <w:numId w:val="17"/>
        </w:numPr>
        <w:spacing w:after="0"/>
        <w:rPr>
          <w:sz w:val="22"/>
          <w:szCs w:val="22"/>
        </w:rPr>
      </w:pPr>
      <w:proofErr w:type="spellStart"/>
      <w:r w:rsidRPr="004114C4">
        <w:rPr>
          <w:b/>
          <w:bCs/>
          <w:sz w:val="22"/>
          <w:szCs w:val="22"/>
        </w:rPr>
        <w:t>c.</w:t>
      </w:r>
      <w:r w:rsidRPr="004114C4">
        <w:rPr>
          <w:sz w:val="22"/>
          <w:szCs w:val="22"/>
        </w:rPr>
        <w:t>arbeid</w:t>
      </w:r>
      <w:proofErr w:type="spellEnd"/>
      <w:r w:rsidRPr="004114C4">
        <w:rPr>
          <w:sz w:val="22"/>
          <w:szCs w:val="22"/>
        </w:rPr>
        <w:t xml:space="preserve"> verrichten aan of met kuipen, bassins, leidingen of reservoirs waarin zich een of meer van de onder </w:t>
      </w:r>
      <w:r w:rsidRPr="004114C4">
        <w:rPr>
          <w:i/>
          <w:iCs/>
          <w:sz w:val="22"/>
          <w:szCs w:val="22"/>
        </w:rPr>
        <w:t>a</w:t>
      </w:r>
      <w:r w:rsidRPr="004114C4">
        <w:rPr>
          <w:sz w:val="22"/>
          <w:szCs w:val="22"/>
        </w:rPr>
        <w:t> of </w:t>
      </w:r>
      <w:r w:rsidRPr="004114C4">
        <w:rPr>
          <w:i/>
          <w:iCs/>
          <w:sz w:val="22"/>
          <w:szCs w:val="22"/>
        </w:rPr>
        <w:t>b</w:t>
      </w:r>
      <w:r w:rsidRPr="004114C4">
        <w:rPr>
          <w:sz w:val="22"/>
          <w:szCs w:val="22"/>
        </w:rPr>
        <w:t> bedoelde stoffen of gassen bevinden;</w:t>
      </w:r>
    </w:p>
    <w:p w14:paraId="7C64EF2D" w14:textId="77777777" w:rsidR="004114C4" w:rsidRPr="004114C4" w:rsidRDefault="004114C4" w:rsidP="003E3535">
      <w:pPr>
        <w:numPr>
          <w:ilvl w:val="0"/>
          <w:numId w:val="17"/>
        </w:numPr>
        <w:spacing w:after="0"/>
        <w:rPr>
          <w:sz w:val="22"/>
          <w:szCs w:val="22"/>
        </w:rPr>
      </w:pPr>
      <w:proofErr w:type="spellStart"/>
      <w:r w:rsidRPr="004114C4">
        <w:rPr>
          <w:b/>
          <w:bCs/>
          <w:sz w:val="22"/>
          <w:szCs w:val="22"/>
        </w:rPr>
        <w:t>d.</w:t>
      </w:r>
      <w:r w:rsidRPr="004114C4">
        <w:rPr>
          <w:sz w:val="22"/>
          <w:szCs w:val="22"/>
        </w:rPr>
        <w:t>artikelen</w:t>
      </w:r>
      <w:proofErr w:type="spellEnd"/>
      <w:r w:rsidRPr="004114C4">
        <w:rPr>
          <w:sz w:val="22"/>
          <w:szCs w:val="22"/>
        </w:rPr>
        <w:t xml:space="preserve"> die ontplofbare stoffen, bedoeld in </w:t>
      </w:r>
      <w:hyperlink r:id="rId15" w:anchor="Hoofdstuk2_Afdeling2_Artikel2.2" w:history="1">
        <w:r w:rsidRPr="004114C4">
          <w:rPr>
            <w:rStyle w:val="Hyperlink"/>
            <w:sz w:val="22"/>
            <w:szCs w:val="22"/>
          </w:rPr>
          <w:t>artikel 2.2, onderdeel e</w:t>
        </w:r>
      </w:hyperlink>
      <w:r w:rsidRPr="004114C4">
        <w:rPr>
          <w:sz w:val="22"/>
          <w:szCs w:val="22"/>
        </w:rPr>
        <w:t>, bevatten, vervaardigen of hanteren.</w:t>
      </w:r>
    </w:p>
    <w:p w14:paraId="4D7D62C0" w14:textId="77777777" w:rsidR="004114C4" w:rsidRPr="00D56141" w:rsidRDefault="004114C4">
      <w:pPr>
        <w:rPr>
          <w:sz w:val="22"/>
          <w:szCs w:val="22"/>
        </w:rPr>
      </w:pPr>
    </w:p>
    <w:p w14:paraId="116406D4" w14:textId="77777777" w:rsidR="00FD6545" w:rsidRPr="00FD6545" w:rsidRDefault="00FD6545" w:rsidP="003E3535">
      <w:pPr>
        <w:spacing w:after="0"/>
        <w:rPr>
          <w:b/>
          <w:bCs/>
          <w:sz w:val="22"/>
          <w:szCs w:val="22"/>
        </w:rPr>
      </w:pPr>
      <w:r w:rsidRPr="00FD6545">
        <w:rPr>
          <w:b/>
          <w:bCs/>
          <w:sz w:val="22"/>
          <w:szCs w:val="22"/>
        </w:rPr>
        <w:t>Artikel 6.27. Arbeidsverboden jeugdige werknemers</w:t>
      </w:r>
    </w:p>
    <w:p w14:paraId="2214DFDE" w14:textId="77777777" w:rsidR="00FD6545" w:rsidRPr="00FD6545" w:rsidRDefault="00FD6545" w:rsidP="003E3535">
      <w:pPr>
        <w:numPr>
          <w:ilvl w:val="0"/>
          <w:numId w:val="23"/>
        </w:numPr>
        <w:spacing w:after="0"/>
        <w:rPr>
          <w:sz w:val="22"/>
          <w:szCs w:val="22"/>
        </w:rPr>
      </w:pPr>
      <w:r w:rsidRPr="00FD6545">
        <w:rPr>
          <w:b/>
          <w:bCs/>
          <w:sz w:val="22"/>
          <w:szCs w:val="22"/>
        </w:rPr>
        <w:t>1</w:t>
      </w:r>
      <w:r w:rsidRPr="00FD6545">
        <w:rPr>
          <w:sz w:val="22"/>
          <w:szCs w:val="22"/>
        </w:rPr>
        <w:t>Jeugdige werknemers mogen geen duikarbeid, caissonarbeid en overige arbeid onder overdruk, bedoeld in </w:t>
      </w:r>
      <w:hyperlink r:id="rId16" w:anchor="Hoofdstuk6_Afdeling5_Artikel6.13" w:history="1">
        <w:r w:rsidRPr="00FD6545">
          <w:rPr>
            <w:rStyle w:val="Hyperlink"/>
            <w:sz w:val="22"/>
            <w:szCs w:val="22"/>
          </w:rPr>
          <w:t>artikel 6.13</w:t>
        </w:r>
      </w:hyperlink>
      <w:r w:rsidRPr="00FD6545">
        <w:rPr>
          <w:sz w:val="22"/>
          <w:szCs w:val="22"/>
        </w:rPr>
        <w:t>, verrichten.</w:t>
      </w:r>
    </w:p>
    <w:p w14:paraId="15DD010C" w14:textId="77777777" w:rsidR="00FD6545" w:rsidRPr="00FD6545" w:rsidRDefault="00FD6545" w:rsidP="003E3535">
      <w:pPr>
        <w:numPr>
          <w:ilvl w:val="0"/>
          <w:numId w:val="24"/>
        </w:numPr>
        <w:spacing w:after="0"/>
        <w:rPr>
          <w:sz w:val="22"/>
          <w:szCs w:val="22"/>
        </w:rPr>
      </w:pPr>
      <w:r w:rsidRPr="00FD6545">
        <w:rPr>
          <w:b/>
          <w:bCs/>
          <w:sz w:val="22"/>
          <w:szCs w:val="22"/>
        </w:rPr>
        <w:t>2</w:t>
      </w:r>
      <w:r w:rsidRPr="00FD6545">
        <w:rPr>
          <w:sz w:val="22"/>
          <w:szCs w:val="22"/>
        </w:rPr>
        <w:t>Jeugdige werknemers mogen geen arbeid verrichten met toestellen die schadelijke elektromagnetische velden of kunstmatige optische straling kunnen uitzenden.</w:t>
      </w:r>
    </w:p>
    <w:p w14:paraId="5A7DE214" w14:textId="77777777" w:rsidR="00FD6545" w:rsidRPr="00FD6545" w:rsidRDefault="00FD6545" w:rsidP="003E3535">
      <w:pPr>
        <w:numPr>
          <w:ilvl w:val="0"/>
          <w:numId w:val="25"/>
        </w:numPr>
        <w:spacing w:after="0"/>
        <w:rPr>
          <w:sz w:val="22"/>
          <w:szCs w:val="22"/>
        </w:rPr>
      </w:pPr>
      <w:r w:rsidRPr="00FD6545">
        <w:rPr>
          <w:b/>
          <w:bCs/>
          <w:sz w:val="22"/>
          <w:szCs w:val="22"/>
        </w:rPr>
        <w:t>3</w:t>
      </w:r>
      <w:r w:rsidRPr="00FD6545">
        <w:rPr>
          <w:sz w:val="22"/>
          <w:szCs w:val="22"/>
        </w:rPr>
        <w:t>Jeugdige werknemers mogen geen arbeid verrichten op een arbeidsplaats waar de dagelijkse blootstelling aan lawaai 85 dB(A) of hoger is of de piekgeluidsdruk 140 Pa of hoger is.</w:t>
      </w:r>
    </w:p>
    <w:p w14:paraId="2A57065D" w14:textId="77777777" w:rsidR="00FD6545" w:rsidRPr="00FD6545" w:rsidRDefault="00FD6545" w:rsidP="003E3535">
      <w:pPr>
        <w:numPr>
          <w:ilvl w:val="0"/>
          <w:numId w:val="26"/>
        </w:numPr>
        <w:spacing w:after="0"/>
        <w:rPr>
          <w:sz w:val="22"/>
          <w:szCs w:val="22"/>
        </w:rPr>
      </w:pPr>
      <w:r w:rsidRPr="00FD6545">
        <w:rPr>
          <w:b/>
          <w:bCs/>
          <w:sz w:val="22"/>
          <w:szCs w:val="22"/>
        </w:rPr>
        <w:t>4</w:t>
      </w:r>
      <w:r w:rsidRPr="00FD6545">
        <w:rPr>
          <w:sz w:val="22"/>
          <w:szCs w:val="22"/>
        </w:rPr>
        <w:t>Jeugdige werknemers mogen niet worden blootgesteld aan schadelijke trillingen.</w:t>
      </w:r>
    </w:p>
    <w:p w14:paraId="3DCD506E" w14:textId="77777777" w:rsidR="004114C4" w:rsidRPr="00D56141" w:rsidRDefault="004114C4">
      <w:pPr>
        <w:rPr>
          <w:sz w:val="22"/>
          <w:szCs w:val="22"/>
        </w:rPr>
      </w:pPr>
    </w:p>
    <w:p w14:paraId="19354F7A" w14:textId="77777777" w:rsidR="00BA3D8A" w:rsidRPr="00BA3D8A" w:rsidRDefault="00BA3D8A" w:rsidP="003E3535">
      <w:pPr>
        <w:spacing w:after="0"/>
        <w:rPr>
          <w:b/>
          <w:bCs/>
          <w:sz w:val="22"/>
          <w:szCs w:val="22"/>
        </w:rPr>
      </w:pPr>
      <w:r w:rsidRPr="00BA3D8A">
        <w:rPr>
          <w:b/>
          <w:bCs/>
          <w:sz w:val="22"/>
          <w:szCs w:val="22"/>
        </w:rPr>
        <w:t>Artikel 7.39. Deskundig toezicht</w:t>
      </w:r>
    </w:p>
    <w:p w14:paraId="24B107BD" w14:textId="4F67B8E3" w:rsidR="00B372AA" w:rsidRPr="00D56141" w:rsidRDefault="00B372AA" w:rsidP="003E3535">
      <w:pPr>
        <w:spacing w:after="0"/>
        <w:rPr>
          <w:sz w:val="22"/>
          <w:szCs w:val="22"/>
        </w:rPr>
      </w:pPr>
      <w:r w:rsidRPr="00BA3D8A">
        <w:rPr>
          <w:sz w:val="22"/>
          <w:szCs w:val="22"/>
        </w:rPr>
        <w:t xml:space="preserve">In aanvulling op het bepaalde bij of </w:t>
      </w:r>
      <w:proofErr w:type="gramStart"/>
      <w:r w:rsidRPr="00BA3D8A">
        <w:rPr>
          <w:sz w:val="22"/>
          <w:szCs w:val="22"/>
        </w:rPr>
        <w:t>krachtens</w:t>
      </w:r>
      <w:proofErr w:type="gramEnd"/>
      <w:r w:rsidRPr="00BA3D8A">
        <w:rPr>
          <w:sz w:val="22"/>
          <w:szCs w:val="22"/>
        </w:rPr>
        <w:t xml:space="preserve"> dit hoofdstuk gelden voor jeugdige werknemers tevens de in deze paragraaf genoemde voorschriften en verboden.</w:t>
      </w:r>
    </w:p>
    <w:p w14:paraId="44E2A219" w14:textId="77777777" w:rsidR="00BA3D8A" w:rsidRPr="00BA3D8A" w:rsidRDefault="00BA3D8A" w:rsidP="003E3535">
      <w:pPr>
        <w:numPr>
          <w:ilvl w:val="0"/>
          <w:numId w:val="28"/>
        </w:numPr>
        <w:spacing w:after="0"/>
        <w:rPr>
          <w:sz w:val="22"/>
          <w:szCs w:val="22"/>
        </w:rPr>
      </w:pPr>
      <w:proofErr w:type="spellStart"/>
      <w:proofErr w:type="gramStart"/>
      <w:r w:rsidRPr="00BA3D8A">
        <w:rPr>
          <w:b/>
          <w:bCs/>
          <w:sz w:val="22"/>
          <w:szCs w:val="22"/>
        </w:rPr>
        <w:t>a.</w:t>
      </w:r>
      <w:r w:rsidRPr="00BA3D8A">
        <w:rPr>
          <w:sz w:val="22"/>
          <w:szCs w:val="22"/>
        </w:rPr>
        <w:t>arbeid</w:t>
      </w:r>
      <w:proofErr w:type="spellEnd"/>
      <w:proofErr w:type="gramEnd"/>
      <w:r w:rsidRPr="00BA3D8A">
        <w:rPr>
          <w:sz w:val="22"/>
          <w:szCs w:val="22"/>
        </w:rPr>
        <w:t xml:space="preserve"> verrichten, bestaande in het besturen van trekkers en het in rechtstreeks verband daarmee aan- of afkoppelen van aanhangwagens of werktuigen;</w:t>
      </w:r>
    </w:p>
    <w:p w14:paraId="4571850E" w14:textId="77777777" w:rsidR="00BA3D8A" w:rsidRPr="00BA3D8A" w:rsidRDefault="00BA3D8A" w:rsidP="003E3535">
      <w:pPr>
        <w:numPr>
          <w:ilvl w:val="0"/>
          <w:numId w:val="28"/>
        </w:numPr>
        <w:spacing w:after="0"/>
        <w:rPr>
          <w:sz w:val="22"/>
          <w:szCs w:val="22"/>
        </w:rPr>
      </w:pPr>
      <w:proofErr w:type="spellStart"/>
      <w:proofErr w:type="gramStart"/>
      <w:r w:rsidRPr="00BA3D8A">
        <w:rPr>
          <w:b/>
          <w:bCs/>
          <w:sz w:val="22"/>
          <w:szCs w:val="22"/>
        </w:rPr>
        <w:t>b.</w:t>
      </w:r>
      <w:r w:rsidRPr="00BA3D8A">
        <w:rPr>
          <w:sz w:val="22"/>
          <w:szCs w:val="22"/>
        </w:rPr>
        <w:t>arbeid</w:t>
      </w:r>
      <w:proofErr w:type="spellEnd"/>
      <w:proofErr w:type="gramEnd"/>
      <w:r w:rsidRPr="00BA3D8A">
        <w:rPr>
          <w:sz w:val="22"/>
          <w:szCs w:val="22"/>
        </w:rPr>
        <w:t xml:space="preserve"> verrichten met wilde, giftige of andere dieren die gevaar opleveren;</w:t>
      </w:r>
    </w:p>
    <w:p w14:paraId="2F0A3A1C" w14:textId="77777777" w:rsidR="00BA3D8A" w:rsidRPr="00BA3D8A" w:rsidRDefault="00BA3D8A" w:rsidP="003E3535">
      <w:pPr>
        <w:numPr>
          <w:ilvl w:val="0"/>
          <w:numId w:val="28"/>
        </w:numPr>
        <w:spacing w:after="0"/>
        <w:rPr>
          <w:sz w:val="22"/>
          <w:szCs w:val="22"/>
        </w:rPr>
      </w:pPr>
      <w:proofErr w:type="spellStart"/>
      <w:r w:rsidRPr="00BA3D8A">
        <w:rPr>
          <w:b/>
          <w:bCs/>
          <w:sz w:val="22"/>
          <w:szCs w:val="22"/>
        </w:rPr>
        <w:t>c.</w:t>
      </w:r>
      <w:r w:rsidRPr="00BA3D8A">
        <w:rPr>
          <w:sz w:val="22"/>
          <w:szCs w:val="22"/>
        </w:rPr>
        <w:t>dieren</w:t>
      </w:r>
      <w:proofErr w:type="spellEnd"/>
      <w:r w:rsidRPr="00BA3D8A">
        <w:rPr>
          <w:sz w:val="22"/>
          <w:szCs w:val="22"/>
        </w:rPr>
        <w:t xml:space="preserve"> industrieel slachten;</w:t>
      </w:r>
    </w:p>
    <w:p w14:paraId="36641DB6" w14:textId="77777777" w:rsidR="00BA3D8A" w:rsidRPr="00BA3D8A" w:rsidRDefault="00BA3D8A" w:rsidP="003E3535">
      <w:pPr>
        <w:numPr>
          <w:ilvl w:val="0"/>
          <w:numId w:val="28"/>
        </w:numPr>
        <w:spacing w:after="0"/>
        <w:rPr>
          <w:sz w:val="22"/>
          <w:szCs w:val="22"/>
        </w:rPr>
      </w:pPr>
      <w:proofErr w:type="spellStart"/>
      <w:r w:rsidRPr="00BA3D8A">
        <w:rPr>
          <w:b/>
          <w:bCs/>
          <w:sz w:val="22"/>
          <w:szCs w:val="22"/>
        </w:rPr>
        <w:t>d.</w:t>
      </w:r>
      <w:r w:rsidRPr="00BA3D8A">
        <w:rPr>
          <w:sz w:val="22"/>
          <w:szCs w:val="22"/>
        </w:rPr>
        <w:t>op</w:t>
      </w:r>
      <w:proofErr w:type="spellEnd"/>
      <w:r w:rsidRPr="00BA3D8A">
        <w:rPr>
          <w:sz w:val="22"/>
          <w:szCs w:val="22"/>
        </w:rPr>
        <w:t xml:space="preserve"> basis van stukloon </w:t>
      </w:r>
      <w:proofErr w:type="spellStart"/>
      <w:r w:rsidRPr="00BA3D8A">
        <w:rPr>
          <w:sz w:val="22"/>
          <w:szCs w:val="22"/>
        </w:rPr>
        <w:t>ongevarieerde</w:t>
      </w:r>
      <w:proofErr w:type="spellEnd"/>
      <w:r w:rsidRPr="00BA3D8A">
        <w:rPr>
          <w:sz w:val="22"/>
          <w:szCs w:val="22"/>
        </w:rPr>
        <w:t>, zich in een kort tijdsbestek herhalende arbeid verrichten, en arbeid verrichten waarbij het tempo op een zodanige wijze wordt beheerst dat de jeugdige werknemer zelf verhinderd wordt het tempo van de arbeid te beïnvloeden.</w:t>
      </w:r>
    </w:p>
    <w:p w14:paraId="296F95A9" w14:textId="77777777" w:rsidR="005A4C98" w:rsidRPr="00D56141" w:rsidRDefault="005A4C98">
      <w:pPr>
        <w:rPr>
          <w:sz w:val="22"/>
          <w:szCs w:val="22"/>
        </w:rPr>
      </w:pPr>
    </w:p>
    <w:p w14:paraId="12C87007" w14:textId="77777777" w:rsidR="00A344B7" w:rsidRDefault="00A344B7"/>
    <w:sectPr w:rsidR="00A344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0495"/>
    <w:multiLevelType w:val="multilevel"/>
    <w:tmpl w:val="E48C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76321"/>
    <w:multiLevelType w:val="multilevel"/>
    <w:tmpl w:val="86C8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A0D27"/>
    <w:multiLevelType w:val="multilevel"/>
    <w:tmpl w:val="65EED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53D76"/>
    <w:multiLevelType w:val="multilevel"/>
    <w:tmpl w:val="2764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02202"/>
    <w:multiLevelType w:val="multilevel"/>
    <w:tmpl w:val="CCDE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469FE"/>
    <w:multiLevelType w:val="multilevel"/>
    <w:tmpl w:val="1DFA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05848"/>
    <w:multiLevelType w:val="multilevel"/>
    <w:tmpl w:val="F248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60352"/>
    <w:multiLevelType w:val="multilevel"/>
    <w:tmpl w:val="FD7C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D0155"/>
    <w:multiLevelType w:val="multilevel"/>
    <w:tmpl w:val="6C78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50B42"/>
    <w:multiLevelType w:val="multilevel"/>
    <w:tmpl w:val="383E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F754F"/>
    <w:multiLevelType w:val="multilevel"/>
    <w:tmpl w:val="5702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16C6A"/>
    <w:multiLevelType w:val="multilevel"/>
    <w:tmpl w:val="E77E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F4C2A"/>
    <w:multiLevelType w:val="multilevel"/>
    <w:tmpl w:val="79E6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0475C"/>
    <w:multiLevelType w:val="multilevel"/>
    <w:tmpl w:val="C59C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C3A0E"/>
    <w:multiLevelType w:val="multilevel"/>
    <w:tmpl w:val="EEB4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809C6"/>
    <w:multiLevelType w:val="multilevel"/>
    <w:tmpl w:val="5BB4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443ED"/>
    <w:multiLevelType w:val="multilevel"/>
    <w:tmpl w:val="50B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736130"/>
    <w:multiLevelType w:val="multilevel"/>
    <w:tmpl w:val="64F6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E1A0C"/>
    <w:multiLevelType w:val="multilevel"/>
    <w:tmpl w:val="E82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177C4F"/>
    <w:multiLevelType w:val="multilevel"/>
    <w:tmpl w:val="7646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36A5D"/>
    <w:multiLevelType w:val="multilevel"/>
    <w:tmpl w:val="6164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905F9A"/>
    <w:multiLevelType w:val="multilevel"/>
    <w:tmpl w:val="BCBC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B471D7"/>
    <w:multiLevelType w:val="multilevel"/>
    <w:tmpl w:val="2BA2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F91918"/>
    <w:multiLevelType w:val="multilevel"/>
    <w:tmpl w:val="A0F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9C0A14"/>
    <w:multiLevelType w:val="multilevel"/>
    <w:tmpl w:val="C5B2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821924"/>
    <w:multiLevelType w:val="multilevel"/>
    <w:tmpl w:val="47EC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4251C8"/>
    <w:multiLevelType w:val="hybridMultilevel"/>
    <w:tmpl w:val="1D4C48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FD31E77"/>
    <w:multiLevelType w:val="multilevel"/>
    <w:tmpl w:val="FA0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188966">
    <w:abstractNumId w:val="18"/>
  </w:num>
  <w:num w:numId="2" w16cid:durableId="582299570">
    <w:abstractNumId w:val="2"/>
  </w:num>
  <w:num w:numId="3" w16cid:durableId="1646398116">
    <w:abstractNumId w:val="3"/>
  </w:num>
  <w:num w:numId="4" w16cid:durableId="2059237957">
    <w:abstractNumId w:val="26"/>
  </w:num>
  <w:num w:numId="5" w16cid:durableId="1995135792">
    <w:abstractNumId w:val="1"/>
  </w:num>
  <w:num w:numId="6" w16cid:durableId="372124012">
    <w:abstractNumId w:val="4"/>
  </w:num>
  <w:num w:numId="7" w16cid:durableId="411239764">
    <w:abstractNumId w:val="17"/>
  </w:num>
  <w:num w:numId="8" w16cid:durableId="921715471">
    <w:abstractNumId w:val="19"/>
  </w:num>
  <w:num w:numId="9" w16cid:durableId="730426768">
    <w:abstractNumId w:val="21"/>
  </w:num>
  <w:num w:numId="10" w16cid:durableId="1711033079">
    <w:abstractNumId w:val="6"/>
  </w:num>
  <w:num w:numId="11" w16cid:durableId="701710647">
    <w:abstractNumId w:val="8"/>
  </w:num>
  <w:num w:numId="12" w16cid:durableId="1280259150">
    <w:abstractNumId w:val="20"/>
  </w:num>
  <w:num w:numId="13" w16cid:durableId="118846277">
    <w:abstractNumId w:val="15"/>
  </w:num>
  <w:num w:numId="14" w16cid:durableId="1868105091">
    <w:abstractNumId w:val="23"/>
  </w:num>
  <w:num w:numId="15" w16cid:durableId="1328092096">
    <w:abstractNumId w:val="9"/>
  </w:num>
  <w:num w:numId="16" w16cid:durableId="1037970761">
    <w:abstractNumId w:val="16"/>
  </w:num>
  <w:num w:numId="17" w16cid:durableId="173694964">
    <w:abstractNumId w:val="27"/>
  </w:num>
  <w:num w:numId="18" w16cid:durableId="1599827352">
    <w:abstractNumId w:val="5"/>
  </w:num>
  <w:num w:numId="19" w16cid:durableId="1184320651">
    <w:abstractNumId w:val="13"/>
  </w:num>
  <w:num w:numId="20" w16cid:durableId="111174021">
    <w:abstractNumId w:val="12"/>
  </w:num>
  <w:num w:numId="21" w16cid:durableId="1176310919">
    <w:abstractNumId w:val="22"/>
  </w:num>
  <w:num w:numId="22" w16cid:durableId="1142844940">
    <w:abstractNumId w:val="7"/>
  </w:num>
  <w:num w:numId="23" w16cid:durableId="1792943617">
    <w:abstractNumId w:val="0"/>
  </w:num>
  <w:num w:numId="24" w16cid:durableId="1186557136">
    <w:abstractNumId w:val="10"/>
  </w:num>
  <w:num w:numId="25" w16cid:durableId="79643478">
    <w:abstractNumId w:val="14"/>
  </w:num>
  <w:num w:numId="26" w16cid:durableId="1352880852">
    <w:abstractNumId w:val="25"/>
  </w:num>
  <w:num w:numId="27" w16cid:durableId="331957852">
    <w:abstractNumId w:val="11"/>
  </w:num>
  <w:num w:numId="28" w16cid:durableId="5726187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B7"/>
    <w:rsid w:val="00267D72"/>
    <w:rsid w:val="00302B2A"/>
    <w:rsid w:val="003E3535"/>
    <w:rsid w:val="003F5A51"/>
    <w:rsid w:val="004114C4"/>
    <w:rsid w:val="00481CD6"/>
    <w:rsid w:val="005A4C98"/>
    <w:rsid w:val="006A4C8A"/>
    <w:rsid w:val="007909B8"/>
    <w:rsid w:val="008A28B3"/>
    <w:rsid w:val="00993139"/>
    <w:rsid w:val="00A31219"/>
    <w:rsid w:val="00A344B7"/>
    <w:rsid w:val="00A372F3"/>
    <w:rsid w:val="00A56B14"/>
    <w:rsid w:val="00A8391B"/>
    <w:rsid w:val="00B372AA"/>
    <w:rsid w:val="00BA3D8A"/>
    <w:rsid w:val="00C16C12"/>
    <w:rsid w:val="00D56141"/>
    <w:rsid w:val="00D7162B"/>
    <w:rsid w:val="00D85F6F"/>
    <w:rsid w:val="00DC243D"/>
    <w:rsid w:val="00E80090"/>
    <w:rsid w:val="00EC73E2"/>
    <w:rsid w:val="00F043F7"/>
    <w:rsid w:val="00F2287C"/>
    <w:rsid w:val="00F445EA"/>
    <w:rsid w:val="00FD6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28C0"/>
  <w15:chartTrackingRefBased/>
  <w15:docId w15:val="{82224AE0-C349-48DA-95B6-A19C784B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4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4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44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A344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44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44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44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44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44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44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44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44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A344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44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44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44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44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44B7"/>
    <w:rPr>
      <w:rFonts w:eastAsiaTheme="majorEastAsia" w:cstheme="majorBidi"/>
      <w:color w:val="272727" w:themeColor="text1" w:themeTint="D8"/>
    </w:rPr>
  </w:style>
  <w:style w:type="paragraph" w:styleId="Titel">
    <w:name w:val="Title"/>
    <w:basedOn w:val="Standaard"/>
    <w:next w:val="Standaard"/>
    <w:link w:val="TitelChar"/>
    <w:uiPriority w:val="10"/>
    <w:qFormat/>
    <w:rsid w:val="00A34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44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44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44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44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44B7"/>
    <w:rPr>
      <w:i/>
      <w:iCs/>
      <w:color w:val="404040" w:themeColor="text1" w:themeTint="BF"/>
    </w:rPr>
  </w:style>
  <w:style w:type="paragraph" w:styleId="Lijstalinea">
    <w:name w:val="List Paragraph"/>
    <w:basedOn w:val="Standaard"/>
    <w:uiPriority w:val="34"/>
    <w:qFormat/>
    <w:rsid w:val="00A344B7"/>
    <w:pPr>
      <w:ind w:left="720"/>
      <w:contextualSpacing/>
    </w:pPr>
  </w:style>
  <w:style w:type="character" w:styleId="Intensievebenadrukking">
    <w:name w:val="Intense Emphasis"/>
    <w:basedOn w:val="Standaardalinea-lettertype"/>
    <w:uiPriority w:val="21"/>
    <w:qFormat/>
    <w:rsid w:val="00A344B7"/>
    <w:rPr>
      <w:i/>
      <w:iCs/>
      <w:color w:val="0F4761" w:themeColor="accent1" w:themeShade="BF"/>
    </w:rPr>
  </w:style>
  <w:style w:type="paragraph" w:styleId="Duidelijkcitaat">
    <w:name w:val="Intense Quote"/>
    <w:basedOn w:val="Standaard"/>
    <w:next w:val="Standaard"/>
    <w:link w:val="DuidelijkcitaatChar"/>
    <w:uiPriority w:val="30"/>
    <w:qFormat/>
    <w:rsid w:val="00A34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44B7"/>
    <w:rPr>
      <w:i/>
      <w:iCs/>
      <w:color w:val="0F4761" w:themeColor="accent1" w:themeShade="BF"/>
    </w:rPr>
  </w:style>
  <w:style w:type="character" w:styleId="Intensieveverwijzing">
    <w:name w:val="Intense Reference"/>
    <w:basedOn w:val="Standaardalinea-lettertype"/>
    <w:uiPriority w:val="32"/>
    <w:qFormat/>
    <w:rsid w:val="00A344B7"/>
    <w:rPr>
      <w:b/>
      <w:bCs/>
      <w:smallCaps/>
      <w:color w:val="0F4761" w:themeColor="accent1" w:themeShade="BF"/>
      <w:spacing w:val="5"/>
    </w:rPr>
  </w:style>
  <w:style w:type="character" w:styleId="Hyperlink">
    <w:name w:val="Hyperlink"/>
    <w:basedOn w:val="Standaardalinea-lettertype"/>
    <w:uiPriority w:val="99"/>
    <w:unhideWhenUsed/>
    <w:rsid w:val="008A28B3"/>
    <w:rPr>
      <w:color w:val="467886" w:themeColor="hyperlink"/>
      <w:u w:val="single"/>
    </w:rPr>
  </w:style>
  <w:style w:type="character" w:styleId="Onopgelostemelding">
    <w:name w:val="Unresolved Mention"/>
    <w:basedOn w:val="Standaardalinea-lettertype"/>
    <w:uiPriority w:val="99"/>
    <w:semiHidden/>
    <w:unhideWhenUsed/>
    <w:rsid w:val="008A2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08498/2026-01-01/" TargetMode="External"/><Relationship Id="rId13" Type="http://schemas.openxmlformats.org/officeDocument/2006/relationships/hyperlink" Target="https://wetten.overheid.nl/BWBR0008498/2026-01-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jci1.3:c:BWBR0010346&amp;artikel=5&amp;g=2026-02-25&amp;z=2026-02-25" TargetMode="External"/><Relationship Id="rId12" Type="http://schemas.openxmlformats.org/officeDocument/2006/relationships/hyperlink" Target="https://wetten.overheid.nl/BWBR0008498/2026-01-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etten.overheid.nl/BWBR0008498/2026-01-01/" TargetMode="External"/><Relationship Id="rId1" Type="http://schemas.openxmlformats.org/officeDocument/2006/relationships/numbering" Target="numbering.xml"/><Relationship Id="rId6" Type="http://schemas.openxmlformats.org/officeDocument/2006/relationships/hyperlink" Target="https://wetten.overheid.nl/jci1.3:c:BWBR0010346&amp;artikel=5&amp;g=2026-02-25&amp;z=2026-02-25" TargetMode="External"/><Relationship Id="rId11" Type="http://schemas.openxmlformats.org/officeDocument/2006/relationships/hyperlink" Target="https://wetten.overheid.nl/BWBR0008498/2026-01-01/" TargetMode="External"/><Relationship Id="rId5" Type="http://schemas.openxmlformats.org/officeDocument/2006/relationships/hyperlink" Target="https://wetten.overheid.nl/jci1.3:c:BWBR0010346&amp;artikel=5&amp;g=2026-02-25&amp;z=2026-02-25" TargetMode="External"/><Relationship Id="rId15" Type="http://schemas.openxmlformats.org/officeDocument/2006/relationships/hyperlink" Target="https://wetten.overheid.nl/BWBR0008498/2026-01-01/" TargetMode="External"/><Relationship Id="rId10" Type="http://schemas.openxmlformats.org/officeDocument/2006/relationships/hyperlink" Target="https://wetten.overheid.nl/BWBR0008498/2026-01-01/" TargetMode="External"/><Relationship Id="rId4" Type="http://schemas.openxmlformats.org/officeDocument/2006/relationships/webSettings" Target="webSettings.xml"/><Relationship Id="rId9" Type="http://schemas.openxmlformats.org/officeDocument/2006/relationships/hyperlink" Target="https://wetten.overheid.nl/jci1.3:c:BWBR0010346&amp;artikel=18&amp;g=2026-02-25&amp;z=2026-02-25" TargetMode="External"/><Relationship Id="rId14" Type="http://schemas.openxmlformats.org/officeDocument/2006/relationships/hyperlink" Target="https://wetten.overheid.nl/BWBR0008498/2026-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1244</Words>
  <Characters>6848</Characters>
  <Application>Microsoft Office Word</Application>
  <DocSecurity>0</DocSecurity>
  <Lines>57</Lines>
  <Paragraphs>16</Paragraphs>
  <ScaleCrop>false</ScaleCrop>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Indy van Raaij</dc:creator>
  <cp:keywords/>
  <dc:description/>
  <cp:lastModifiedBy>Indy van Raaij</cp:lastModifiedBy>
  <cp:revision>7</cp:revision>
  <dcterms:created xsi:type="dcterms:W3CDTF">2026-02-25T18:02:00Z</dcterms:created>
  <dcterms:modified xsi:type="dcterms:W3CDTF">2026-02-25T18:08:00Z</dcterms:modified>
</cp:coreProperties>
</file>